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2153 BGB — Bestimmung der Anteile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Erblasser kann mehrere mit einem Vermächtnis in der Weise bedenken, dass der Beschwerte oder ein Dritter zu bestimmen hat, was jeder von dem vermachten Gegenstand erhalten soll. Die Bestimmung erfolgt nach § 2151 Abs. 2.</w:t>
      </w:r>
    </w:p>
    <w:p>
      <w:r>
        <w:t xml:space="preserve">(2) Kann der Beschwerte oder der Dritte die Bestimmung nicht treffen, so sind die Bedachten zu gleichen Teilen berechtigt. Die Vorschrift des § 2151 Abs. 3 Satz 2 findet entsprechende Anwendung.</w:t>
      </w:r>
    </w:p>
    <w:p>
      <w:r>
        <w:rPr>
          <w:color w:val="555555"/>
          <w:sz w:val="17"/>
        </w:rPr>
        <w:t xml:space="preserve">Zitiervorschlag: § 2153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