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2146 BGB — Anzeigepflicht des Vorerben gegenüber Nachlassgläubigern</w:t>
      </w:r>
    </w:p>
    <w:p>
      <w:r>
        <w:rPr>
          <w:color w:val="555555"/>
          <w:sz w:val="18"/>
        </w:rPr>
        <w:t xml:space="preserve">Bürgerliches 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Der Vorerbe ist den Nachlassgläubigern gegenüber verpflichtet, den Eintritt der Nacherbfolge unverzüglich dem Nachlassgericht anzuzeigen. Die Anzeige des Vorerben wird durch die Anzeige des Nacherben ersetzt.</w:t>
      </w:r>
    </w:p>
    <w:p>
      <w:r>
        <w:t xml:space="preserve">(2) Das Nachlassgericht hat die Einsicht der Anzeige jedem zu gestatten, der ein rechtliches Interesse glaubhaft macht.</w:t>
      </w:r>
    </w:p>
    <w:p>
      <w:r>
        <w:rPr>
          <w:color w:val="555555"/>
          <w:sz w:val="17"/>
        </w:rPr>
        <w:t xml:space="preserve">Zitiervorschlag: § 2146 BGB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https://recht.nulegal.eu/gesetze/BGB/2146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