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2145 BGB — Haftung des Vorerben für Nachlassverbindlichkeiten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Vorerbe haftet nach dem Eintritt der Nacherbfolge für die Nachlassverbindlichkeiten noch insoweit, als der Nacherbe nicht haftet. Die Haftung bleibt auch für diejenigen Nachlassverbindlichkeiten bestehen, welche im Verhältnis zwischen dem Vorerben und dem Nacherben dem Vorerben zur Last fallen.</w:t>
      </w:r>
    </w:p>
    <w:p>
      <w:r>
        <w:t xml:space="preserve">(2) Der Vorerbe kann nach dem Eintritt der Nacherbfolge die Berichtigung der Nachlassverbindlichkeiten, sofern nicht seine Haftung unbeschränkt ist, insoweit verweigern, als dasjenige nicht ausreicht, was ihm von der Erbschaft gebührt. Die Vorschriften der §§ 1990, 1991 finden entsprechende Anwendung.</w:t>
      </w:r>
    </w:p>
    <w:p>
      <w:r>
        <w:rPr>
          <w:color w:val="555555"/>
          <w:sz w:val="17"/>
        </w:rPr>
        <w:t xml:space="preserve">Zitiervorschlag: § 2145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