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2144 BGB — Haftung des Nacherben für Nachlassverbindlichkeiten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über die Beschränkung der Haftung des Erben für die Nachlassverbindlichkeiten gelten auch für den Nacherben; an die Stelle des Nachlasses tritt dasjenige, was der Nacherbe aus der Erbschaft erlangt, mit Einschluss der ihm gegen den Vorerben als solchen zustehenden Ansprüche.</w:t>
      </w:r>
    </w:p>
    <w:p>
      <w:r>
        <w:t xml:space="preserve">(2) Das von dem Vorerben errichtete Inventar kommt auch dem Nacherben zustatten.</w:t>
      </w:r>
    </w:p>
    <w:p>
      <w:r>
        <w:t xml:space="preserve">(3) Der Nacherbe kann sich dem Vorerben gegenüber auf die Beschränkung seiner Haftung auch dann berufen, wenn er den übrigen Nachlassgläubigern gegenüber unbeschränkt haftet.</w:t>
      </w:r>
    </w:p>
    <w:p>
      <w:r>
        <w:rPr>
          <w:color w:val="555555"/>
          <w:sz w:val="17"/>
        </w:rPr>
        <w:t xml:space="preserve">Zitiervorschlag: § 2144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