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2138 BGB — Beschränkte Herausgabepflicht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Herausgabepflicht des Vorerben beschränkt sich in den Fällen des § 2137 auf die bei ihm noch vorhandenen Erbschaftsgegenstände. Für Verwendungen auf Gegenstände, die er infolge dieser Beschränkung nicht herauszugeben hat, kann er nicht Ersatz verlangen.</w:t>
      </w:r>
    </w:p>
    <w:p>
      <w:r>
        <w:t xml:space="preserve">(2) Hat der Vorerbe der Vorschrift des § 2113 Abs. 2 zuwider über einen Erbschaftsgegenstand verfügt oder hat er die Erbschaft in der Absicht, den Nacherben zu benachteiligen, vermindert, so ist er dem Nacherben zum Schadensersatz verpflichtet.</w:t>
      </w:r>
    </w:p>
    <w:p>
      <w:r>
        <w:rPr>
          <w:color w:val="555555"/>
          <w:sz w:val="17"/>
        </w:rPr>
        <w:t xml:space="preserve">Zitiervorschlag: § 2138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https://recht.nulegal.eu/gesetze/BGB/2138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2138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