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2137 BGB — Auslegungsregel für die Befreiung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Erblasser den Nacherben auf dasjenige eingesetzt, was von der Erbschaft bei dem Eintritt der Nacherbfolge übrig sein wird, so gilt die Befreiung von allen in § 2136 bezeichneten Beschränkungen und Verpflichtungen als angeordnet.</w:t>
      </w:r>
    </w:p>
    <w:p>
      <w:r>
        <w:t xml:space="preserve">(2) Das Gleiche ist im Zweifel anzunehmen, wenn der Erblasser bestimmt hat, dass der Vorerbe zur freien Verfügung über die Erbschaft berechtigt sein soll.</w:t>
      </w:r>
    </w:p>
    <w:p>
      <w:r>
        <w:rPr>
          <w:color w:val="555555"/>
          <w:sz w:val="17"/>
        </w:rPr>
        <w:t xml:space="preserve">Zitiervorschlag: § 2137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