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2134 BGB — Eigennützige Verwendung</w:t>
      </w:r>
    </w:p>
    <w:p>
      <w:r>
        <w:rPr>
          <w:color w:val="555555"/>
          <w:sz w:val="18"/>
        </w:rPr>
        <w:t xml:space="preserve">Bürgerliches Gesetzbuch</w:t>
      </w:r>
    </w:p>
    <w:p>
      <w:r>
        <w:rPr>
          <w:color w:val="555555"/>
          <w:sz w:val="18"/>
        </w:rPr>
        <w:t xml:space="preserve">Stand: 10.06.2019 (konsolidierte Textfassung, kein amtliches Inkrafttretensdatum)</w:t>
      </w:r>
    </w:p>
    <w:p>
      <w:r>
        <w:t xml:space="preserve">Hat der Vorerbe einen Erbschaftsgegenstand für sich verwendet, so ist er nach dem Eintritt der Nacherbfolge dem Nacherben gegenüber zum Ersatz des Wertes verpflichtet. Eine weitergehende Haftung wegen Verschuldens bleibt unberührt.</w:t>
      </w:r>
    </w:p>
    <w:p>
      <w:r>
        <w:rPr>
          <w:color w:val="555555"/>
          <w:sz w:val="17"/>
        </w:rPr>
        <w:t xml:space="preserve">Zitiervorschlag: § 2134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https://recht.nulegal.eu/gesetze/BGB/2134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