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2128 BGB — Sicherheitsleistung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17.08.2024 (konsolidierte Textfassung, kein amtliches Inkrafttretensdatum)</w:t>
      </w:r>
    </w:p>
    <w:p>
      <w:r>
        <w:t xml:space="preserve">(1) Wird durch das Verhalten des Vorerben oder durch seine ungünstige Vermögenslage die Besorgnis einer erheblichen Verletzung der Rechte des Nacherben begründet, so kann der Nacherbe Sicherheitsleistung verlangen.</w:t>
      </w:r>
    </w:p>
    <w:p>
      <w:r>
        <w:t xml:space="preserve">(2) Die für die Verpflichtung des Nießbrauchers zur Sicherheitsleistung geltende Vorschrift des § 1052 findet entsprechende Anwendung.</w:t>
      </w:r>
    </w:p>
    <w:p>
      <w:r>
        <w:rPr>
          <w:color w:val="555555"/>
          <w:sz w:val="17"/>
        </w:rPr>
        <w:t xml:space="preserve">Zitiervorschlag: § 2128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2128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