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2121 BGB — Verzeichnis der Erbschaftsgegenstände</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Vorerbe hat dem Nacherben auf Verlangen ein Verzeichnis der zur Erbschaft gehörenden Gegenstände mitzuteilen. Das Verzeichnis ist mit der Angabe des Tages der Aufnahme zu versehen und von dem Vorerben zu unterzeichnen; der Vorerbe hat auf Verlangen die Unterzeichnung öffentlich beglaubigen zu lassen.</w:t>
      </w:r>
    </w:p>
    <w:p>
      <w:r>
        <w:t xml:space="preserve">(2) Der Nacherbe kann verlangen, dass er bei der Aufnahme des Verzeichnisses zugezogen wird.</w:t>
      </w:r>
    </w:p>
    <w:p>
      <w:r>
        <w:t xml:space="preserve">(3) Der Vorerbe ist berechtigt und auf Verlangen des Nacherben verpflichtet, das Verzeichnis durch die zuständige Behörde oder durch einen zuständigen Beamten oder Notar aufnehmen zu lassen.</w:t>
      </w:r>
    </w:p>
    <w:p>
      <w:r>
        <w:t xml:space="preserve">(4) Die Kosten der Aufnahme und der Beglaubigung fallen der Erbschaft zur Last.</w:t>
      </w:r>
    </w:p>
    <w:p>
      <w:r>
        <w:rPr>
          <w:color w:val="555555"/>
          <w:sz w:val="17"/>
        </w:rPr>
        <w:t xml:space="preserve">Zitiervorschlag: § 2121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https://recht.nulegal.eu/gesetze/BGB/2121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