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2113 BGB — Verfügungen über Grundstücke, Schiffe und Schiffsbauwerke; Schenkungen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Verfügung des Vorerben über ein zur Erbschaft gehörendes Grundstück oder Recht an einem Grundstück oder über ein zur Erbschaft gehörendes eingetragenes Schiff oder Schiffsbauwerk ist im Falle des Eintritts der Nacherbfolge insoweit unwirksam, als sie das Recht des Nacherben vereiteln oder beeinträchtigen würde.</w:t>
      </w:r>
    </w:p>
    <w:p>
      <w:r>
        <w:t xml:space="preserve">(2) Das Gleiche gilt von der Verfügung über einen Erbschaftsgegenstand, die unentgeltlich oder zum Zwecke der Erfüllung eines von dem Vorerben erteilten Schenkungsversprechens erfolgt. Ausgenommen sind Schenkungen, durch die einer sittlichen Pflicht oder einer auf den Anstand zu nehmenden Rücksicht entsprochen wird.</w:t>
      </w:r>
    </w:p>
    <w:p>
      <w:r>
        <w:t xml:space="preserve">(3) Die Vorschriften zugunsten derjenigen, welche Rechte von einem Nichtberechtigten herleiten, finden entsprechende Anwendung.</w:t>
      </w:r>
    </w:p>
    <w:p>
      <w:r>
        <w:rPr>
          <w:color w:val="555555"/>
          <w:sz w:val="17"/>
        </w:rPr>
        <w:t xml:space="preserve">Zitiervorschlag: § 2113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