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2106 BGB — Eintritt der Nacherbfolge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Erblasser einen Nacherben eingesetzt, ohne den Zeitpunkt oder das Ereignis zu bestimmen, mit dem die Nacherbfolge eintreten soll, so fällt die Erbschaft dem Nacherben mit dem Tode des Vorerben an.</w:t>
      </w:r>
    </w:p>
    <w:p>
      <w:r>
        <w:t xml:space="preserve">(2) Ist die Einsetzung einer noch nicht gezeugten Person als Erbe nach § 2101 Abs. 1 als Nacherbeinsetzung anzusehen, so fällt die Erbschaft dem Nacherben mit dessen Geburt an. Im Falle des § 2101 Abs. 2 tritt der Anfall mit der Entstehung der juristischen Person ein.</w:t>
      </w:r>
    </w:p>
    <w:p>
      <w:r>
        <w:rPr>
          <w:color w:val="555555"/>
          <w:sz w:val="17"/>
        </w:rPr>
        <w:t xml:space="preserve">Zitiervorschlag: § 2106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2106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