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2049 BGB — Übernahme eines Landguts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Hat der Erblasser angeordnet, dass einer der Miterben das Recht haben soll, ein zum Nachlass gehörendes Landgut zu übernehmen, so ist im Zweifel anzunehmen, dass das Landgut zu dem Ertragswert angesetzt werden soll.</w:t>
      </w:r>
    </w:p>
    <w:p>
      <w:r>
        <w:t xml:space="preserve">(2) Der Ertragswert bestimmt sich nach dem Reinertrag, den das Landgut nach seiner bisherigen wirtschaftlichen Bestimmung bei ordnungsmäßiger Bewirtschaftung nachhaltig gewähren kann.</w:t>
      </w:r>
    </w:p>
    <w:p>
      <w:r>
        <w:rPr>
          <w:color w:val="555555"/>
          <w:sz w:val="17"/>
        </w:rPr>
        <w:t xml:space="preserve">Zitiervorschlag: § 2049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https://recht.nulegal.eu/gesetze/BGB/2049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