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2047 BGB — Verteilung des Überschusses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nach der Berichtigung der Nachlassverbindlichkeiten verbleibende Überschuss gebührt den Erben nach dem Verhältnis der Erbteile.</w:t>
      </w:r>
    </w:p>
    <w:p>
      <w:r>
        <w:t xml:space="preserve">(2) Schriftstücke, die sich auf die persönlichen Verhältnisse des Erblassers, auf dessen Familie oder auf den ganzen Nachlass beziehen, bleiben gemeinschaftlich.</w:t>
      </w:r>
    </w:p>
    <w:p>
      <w:r>
        <w:rPr>
          <w:color w:val="555555"/>
          <w:sz w:val="17"/>
        </w:rPr>
        <w:t xml:space="preserve">Zitiervorschlag: § 2047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https://recht.nulegal.eu/gesetze/BGB/2047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