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2044 BGB — Ausschluss der Auseinandersetzung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Erblasser kann durch letztwillige Verfügung die Auseinandersetzung in Ansehung des Nachlasses oder einzelner Nachlassgegenstände ausschließen oder von der Einhaltung einer Kündigungsfrist abhängig machen. Die Vorschriften des § 749 Abs. 2, 3, der §§ 750, 751 und des § 1010 Abs. 1 finden entsprechende Anwendung.</w:t>
      </w:r>
    </w:p>
    <w:p>
      <w:r>
        <w:t xml:space="preserve">(2) Die Verfügung wird unwirksam, wenn 30 Jahre seit dem Eintritt des Erbfalls verstrichen sind. Der Erblasser kann jedoch anordnen, dass die Verfügung bis zum Eintritt eines bestimmten Ereignisses in der Person eines Miterben oder, falls er eine Nacherbfolge oder ein Vermächtnis anordnet, bis zum Eintritt der Nacherbfolge oder bis zum Anfall des Vermächtnisses gelten soll. Ist der Miterbe, in dessen Person das Ereignis eintreten soll, eine juristische Person, so bewendet es bei der dreißigjährigen Frist.</w:t>
      </w:r>
    </w:p>
    <w:p>
      <w:r>
        <w:rPr>
          <w:color w:val="555555"/>
          <w:sz w:val="17"/>
        </w:rPr>
        <w:t xml:space="preserve">Zitiervorschlag: § 2044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https://recht.nulegal.eu/gesetze/BGB/2044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