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2038 BGB — Gemeinschaftliche Verwaltung des Nachlasses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Verwaltung des Nachlasses steht den Erben gemeinschaftlich zu. Jeder Miterbe ist den anderen gegenüber verpflichtet, zu Maßregeln mitzuwirken, die zur ordnungsmäßigen Verwaltung erforderlich sind; die zur Erhaltung notwendigen Maßregeln kann jeder Miterbe ohne Mitwirkung der anderen treffen.</w:t>
      </w:r>
    </w:p>
    <w:p>
      <w:r>
        <w:t xml:space="preserve">(2) Die Vorschriften der §§ 743, 745, 746, 748 finden Anwendung. Die Teilung der Früchte erfolgt erst bei der Auseinandersetzung. Ist die Auseinandersetzung auf längere Zeit als ein Jahr ausgeschlossen, so kann jeder Miterbe am Schluss jedes Jahres die Teilung des Reinertrags verlangen.</w:t>
      </w:r>
    </w:p>
    <w:p>
      <w:r>
        <w:rPr>
          <w:color w:val="555555"/>
          <w:sz w:val="17"/>
        </w:rPr>
        <w:t xml:space="preserve">Zitiervorschlag: § 2038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https://recht.nulegal.eu/gesetze/BGB/2038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