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2028 BGB — Auskunftspflicht des Hausgenossen</w:t>
      </w:r>
    </w:p>
    <w:p>
      <w:r>
        <w:rPr>
          <w:color w:val="555555"/>
          <w:sz w:val="18"/>
        </w:rPr>
        <w:t xml:space="preserve">Bürgerliches Gesetzbuch</w:t>
      </w:r>
    </w:p>
    <w:p>
      <w:r>
        <w:rPr>
          <w:color w:val="555555"/>
          <w:sz w:val="18"/>
        </w:rPr>
        <w:t xml:space="preserve">Stand: 10.06.2019 (konsolidierte Textfassung, kein amtliches Inkrafttretensdatum)</w:t>
      </w:r>
    </w:p>
    <w:p>
      <w:r>
        <w:t xml:space="preserve">(1) Wer sich zur Zeit des Erbfalls mit dem Erblasser in häuslicher Gemeinschaft befunden hat, ist verpflichtet, dem Erben auf Verlangen Auskunft darüber zu erteilen, welche erbschaftlichen Geschäfte er geführt hat und was ihm über den Verbleib der Erbschaftsgegenstände bekannt ist.</w:t>
      </w:r>
    </w:p>
    <w:p>
      <w:r>
        <w:t xml:space="preserve">(2) Besteht Grund zu der Annahme, dass die Auskunft nicht mit der erforderlichen Sorgfalt erteilt worden ist, so hat der Verpflichtete auf Verlangen des Erben zu Protokoll an Eides statt zu versichern, dass er seine Angaben nach bestem Wissen so vollständig gemacht habe, als er dazu imstande sei.</w:t>
      </w:r>
    </w:p>
    <w:p>
      <w:r>
        <w:t xml:space="preserve">(3) Die Vorschriften des § 259 Abs. 3 und des § 261 finden Anwendung.</w:t>
      </w:r>
    </w:p>
    <w:p>
      <w:r>
        <w:rPr>
          <w:color w:val="555555"/>
          <w:sz w:val="17"/>
        </w:rPr>
        <w:t xml:space="preserve">Zitiervorschlag: § 2028 BGB</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https://recht.nulegal.eu/gesetze/BGB/2028</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