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2020 BGB — Nutzungen und Früchte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Erbschaftsbesitzer hat dem Erben die gezogenen Nutzungen herauszugeben; die Verpflichtung zur Herausgabe erstreckt sich auch auf Früchte, an denen er das Eigentum erworben hat.</w:t>
      </w:r>
    </w:p>
    <w:p>
      <w:r>
        <w:rPr>
          <w:color w:val="555555"/>
          <w:sz w:val="17"/>
        </w:rPr>
        <w:t xml:space="preserve">Zitiervorschlag: § 2020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https://recht.nulegal.eu/gesetze/BGB/2020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