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2019 BGB — Unmittelbare Ersetzung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Als aus der Erbschaft erlangt gilt auch, was der Erbschaftsbesitzer durch Rechtsgeschäft mit Mitteln der Erbschaft erwirbt.</w:t>
      </w:r>
    </w:p>
    <w:p>
      <w:r>
        <w:t xml:space="preserve">(2) Die Zugehörigkeit einer in solcher Weise erworbenen Forderung zur Erbschaft hat der Schuldner erst dann gegen sich gelten zu lassen, wenn er von der Zugehörigkeit Kenntnis erlangt; die Vorschriften der §§ 406 bis 408 finden entsprechende Anwendung.</w:t>
      </w:r>
    </w:p>
    <w:p>
      <w:r>
        <w:rPr>
          <w:color w:val="555555"/>
          <w:sz w:val="17"/>
        </w:rPr>
        <w:t xml:space="preserve">Zitiervorschlag: § 2019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https://recht.nulegal.eu/gesetze/BGB/2019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