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2013 BGB — Folgen der unbeschränkten Haftung des Erben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Haftet der Erbe für die Nachlassverbindlichkeiten unbeschränkt, so finden die Vorschriften der §§ 1973 bis 1975, 1977 bis 1980, 1989 bis 1992 keine Anwendung; der Erbe ist nicht berechtigt, die Anordnung einer Nachlassverwaltung zu beantragen. Auf eine nach § 1973 oder nach § 1974 eingetretene Beschränkung der Haftung kann sich der Erbe jedoch berufen, wenn später der Fall des § 1994 Abs. 1 Satz 2 oder des § 2005 Abs. 1 eintritt.</w:t>
      </w:r>
    </w:p>
    <w:p>
      <w:r>
        <w:t xml:space="preserve">(2) Die Vorschriften der §§ 1977 bis 1980 und das Recht des Erben, die Anordnung einer Nachlassverwaltung zu beantragen, werden nicht dadurch ausgeschlossen, dass der Erbe einzelnen Nachlassgläubigern gegenüber unbeschränkt haftet.</w:t>
      </w:r>
    </w:p>
    <w:p>
      <w:r>
        <w:rPr>
          <w:color w:val="555555"/>
          <w:sz w:val="17"/>
        </w:rPr>
        <w:t xml:space="preserve">Zitiervorschlag: § 2013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