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2009 BGB — Wirkung der Inventarerrichtung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Ist das Inventar rechtzeitig errichtet worden, so wird im Verhältnis zwischen dem Erben und den Nachlassgläubigern vermutet, dass zur Zeit des Erbfalls weitere Nachlassgegenstände als die angegebenen nicht vorhanden gewesen seien.</w:t>
      </w:r>
    </w:p>
    <w:p>
      <w:r>
        <w:rPr>
          <w:color w:val="555555"/>
          <w:sz w:val="17"/>
        </w:rPr>
        <w:t xml:space="preserve">Zitiervorschlag: § 2009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https://recht.nulegal.eu/gesetze/BGB/2009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