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1996 BGB — Bestimmung einer neuen Frist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War der Erbe ohne sein Verschulden verhindert, das Inventar rechtzeitig zu errichten, die nach den Umständen gerechtfertigte Verlängerung der Inventarfrist zu beantragen oder die in Absatz 2 bestimmte Frist von zwei Wochen einzuhalten, so hat ihm auf seinen Antrag das Nachlassgericht eine neue Inventarfrist zu bestimmen.</w:t>
      </w:r>
    </w:p>
    <w:p>
      <w:r>
        <w:t xml:space="preserve">(2) Der Antrag muss binnen zwei Wochen nach der Beseitigung des Hindernisses und spätestens vor dem Ablauf eines Jahres nach dem Ende der zuerst bestimmten Frist gestellt werden.</w:t>
      </w:r>
    </w:p>
    <w:p>
      <w:r>
        <w:t xml:space="preserve">(3) Vor der Entscheidung soll der Nachlassgläubiger, auf dessen Antrag die erste Frist bestimmt worden ist, wenn tunlich gehört werden.</w:t>
      </w:r>
    </w:p>
    <w:p>
      <w:r>
        <w:rPr>
          <w:color w:val="555555"/>
          <w:sz w:val="17"/>
        </w:rPr>
        <w:t xml:space="preserve">Zitiervorschlag: § 1996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