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1995 BGB — Dauer der 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Inventarfrist soll mindestens einen Monat, höchstens drei Monate betragen. Sie beginnt mit der Zustellung des Beschlusses, durch den die Frist bestimmt wird.</w:t>
      </w:r>
    </w:p>
    <w:p>
      <w:r>
        <w:t xml:space="preserve">(2) Wird die Frist vor der Annahme der Erbschaft bestimmt, so beginnt sie erst mit der Annahme der Erbschaft.</w:t>
      </w:r>
    </w:p>
    <w:p>
      <w:r>
        <w:t xml:space="preserve">(3) Auf Antrag des Erben kann das Nachlassgericht die Frist nach seinem Ermessen verlängern.</w:t>
      </w:r>
    </w:p>
    <w:p>
      <w:r>
        <w:rPr>
          <w:color w:val="555555"/>
          <w:sz w:val="17"/>
        </w:rPr>
        <w:t xml:space="preserve">Zitiervorschlag: § 1995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