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1990 BGB — Dürftigkeitseinrede des Erben</w:t>
      </w:r>
    </w:p>
    <w:p>
      <w:r>
        <w:rPr>
          <w:color w:val="555555"/>
          <w:sz w:val="18"/>
        </w:rPr>
        <w:t xml:space="preserve">Bürgerliches Gesetzbuch</w:t>
      </w:r>
    </w:p>
    <w:p>
      <w:r>
        <w:rPr>
          <w:color w:val="555555"/>
          <w:sz w:val="18"/>
        </w:rPr>
        <w:t xml:space="preserve">Stand: 17.08.2024 (konsolidierte Textfassung, kein amtliches Inkrafttretensdatum)</w:t>
      </w:r>
    </w:p>
    <w:p>
      <w:r>
        <w:t xml:space="preserve">(1) Ist die Anordnung der Nachlassverwaltung oder die Eröffnung des Nachlassinsolvenzverfahrens wegen Mangels einer den Kosten entsprechenden Masse nicht tunlich oder wird aus diesem Grunde die Nachlassverwaltung aufgehoben oder das Insolvenzverfahren eingestellt, so kann der Erbe die Befriedigung eines Nachlassgläubigers insoweit verweigern, als der Nachlass nicht ausreicht. Der Erbe ist in diesem Falle verpflichtet, den Nachlass zum Zwecke der Befriedigung des Gläubigers im Wege der Zwangsvollstreckung herauszugeben.</w:t>
      </w:r>
    </w:p>
    <w:p>
      <w:r>
        <w:t xml:space="preserve">(2) Das Recht des Erben wird nicht dadurch ausgeschlossen, dass der Gläubiger nach dem Eintritt des Erbfalls im Wege der Zwangsvollstreckung oder der Arrestvollziehung ein Pfandrecht oder eine Hypothek oder im Wege der einstweiligen Verfügung eine Vormerkung erlangt hat.</w:t>
      </w:r>
    </w:p>
    <w:p>
      <w:r>
        <w:rPr>
          <w:color w:val="555555"/>
          <w:sz w:val="17"/>
        </w:rPr>
        <w:t xml:space="preserve">Zitiervorschlag: § 1990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