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1987 BGB — Vergütung des Nachlassverwalters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Nachlassverwalter kann für die Führung seines Amts eine angemessene Vergütung verlangen.</w:t>
      </w:r>
    </w:p>
    <w:p>
      <w:r>
        <w:rPr>
          <w:color w:val="555555"/>
          <w:sz w:val="17"/>
        </w:rPr>
        <w:t xml:space="preserve">Zitiervorschlag: § 1987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