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1981 BGB — Anordnung der Nachlassverwaltung</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Die Nachlassverwaltung ist von dem Nachlassgericht anzuordnen, wenn der Erbe die Anordnung beantragt.</w:t>
      </w:r>
    </w:p>
    <w:p>
      <w:r>
        <w:t xml:space="preserve">(2) Auf Antrag eines Nachlassgläubigers ist die Nachlassverwaltung anzuordnen, wenn Grund zu der Annahme besteht, dass die Befriedigung der Nachlassgläubiger aus dem Nachlass durch das Verhalten oder die Vermögenslage des Erben gefährdet wird. Der Antrag kann nicht mehr gestellt werden, wenn seit der Annahme der Erbschaft zwei Jahre verstrichen sind.</w:t>
      </w:r>
    </w:p>
    <w:p>
      <w:r>
        <w:t xml:space="preserve">(3) (weggefallen)</w:t>
      </w:r>
    </w:p>
    <w:p>
      <w:r>
        <w:rPr>
          <w:color w:val="555555"/>
          <w:sz w:val="17"/>
        </w:rPr>
        <w:t xml:space="preserve">Zitiervorschlag: § 1981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