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1957 BGB — Wirkung der Anfechtung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Anfechtung der Annahme gilt als Ausschlagung, die Anfechtung der Ausschlagung gilt als Annahme.</w:t>
      </w:r>
    </w:p>
    <w:p>
      <w:r>
        <w:t xml:space="preserve">(2) Das Nachlassgericht soll die Anfechtung der Ausschlagung demjenigen mitteilen, welchem die Erbschaft infolge der Ausschlagung angefallen war. Die Vorschrift des § 1953 Abs. 3 Satz 2 findet Anwendung.</w:t>
      </w:r>
    </w:p>
    <w:p>
      <w:r>
        <w:rPr>
          <w:color w:val="555555"/>
          <w:sz w:val="17"/>
        </w:rPr>
        <w:t xml:space="preserve">Zitiervorschlag: § 1957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https://recht.nulegal.eu/gesetze/BGB/1957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