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1953 BGB — Wirkung der Ausschlagung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Erbschaft ausgeschlagen, so gilt der Anfall an den Ausschlagenden als nicht erfolgt.</w:t>
      </w:r>
    </w:p>
    <w:p>
      <w:r>
        <w:t xml:space="preserve">(2) Die Erbschaft fällt demjenigen an, welcher berufen sein würde, wenn der Ausschlagende zur Zeit des Erbfalls nicht gelebt hätte; der Anfall gilt als mit dem Erbfall erfolgt.</w:t>
      </w:r>
    </w:p>
    <w:p>
      <w:r>
        <w:t xml:space="preserve">(3) Das Nachlassgericht soll die Ausschlagung demjenigen mitteilen, welchem die Erbschaft infolge der Ausschlagung angefallen ist. Es hat die Einsicht der Erklärung jedem zu gestatten, der ein rechtliches Interesse glaubhaft macht.</w:t>
      </w:r>
    </w:p>
    <w:p>
      <w:r>
        <w:rPr>
          <w:color w:val="555555"/>
          <w:sz w:val="17"/>
        </w:rPr>
        <w:t xml:space="preserve">Zitiervorschlag: § 1953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