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1952 BGB — Vererblichkeit des Ausschlagungsrechts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Recht des Erben, die Erbschaft auszuschlagen, ist vererblich.</w:t>
      </w:r>
    </w:p>
    <w:p>
      <w:r>
        <w:t xml:space="preserve">(2) Stirbt der Erbe vor dem Ablauf der Ausschlagungsfrist, so endigt die Frist nicht vor dem Ablauf der für die Erbschaft des Erben vorgeschriebenen Ausschlagungsfrist.</w:t>
      </w:r>
    </w:p>
    <w:p>
      <w:r>
        <w:t xml:space="preserve">(3) Von mehreren Erben des Erben kann jeder den seinem Erbteil entsprechenden Teil der Erbschaft ausschlagen.</w:t>
      </w:r>
    </w:p>
    <w:p>
      <w:r>
        <w:rPr>
          <w:color w:val="555555"/>
          <w:sz w:val="17"/>
        </w:rPr>
        <w:t xml:space="preserve">Zitiervorschlag: § 1952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