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1949 BGB — Irrtum über den Berufungsgrund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Annahme gilt als nicht erfolgt, wenn der Erbe über den Berufungsgrund im Irrtum war.</w:t>
      </w:r>
    </w:p>
    <w:p>
      <w:r>
        <w:t xml:space="preserve">(2) Die Ausschlagung erstreckt sich im Zweifel auf alle Berufungsgründe, die dem Erben zur Zeit der Erklärung bekannt sind.</w:t>
      </w:r>
    </w:p>
    <w:p>
      <w:r>
        <w:rPr>
          <w:color w:val="555555"/>
          <w:sz w:val="17"/>
        </w:rPr>
        <w:t xml:space="preserve">Zitiervorschlag: § 1949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