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1922 BGB — Gesamtrechtsnachfolge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dem Tode einer Person (Erbfall) geht deren Vermögen (Erbschaft) als Ganzes auf eine oder mehrere andere Personen (Erben) über.</w:t>
      </w:r>
    </w:p>
    <w:p>
      <w:r>
        <w:t xml:space="preserve">(2) Auf den Anteil eines Miterben (Erbteil) finden die sich auf die Erbschaft beziehenden Vorschriften Anwendung.</w:t>
      </w:r>
    </w:p>
    <w:p>
      <w:r>
        <w:rPr>
          <w:color w:val="555555"/>
          <w:sz w:val="17"/>
        </w:rPr>
        <w:t xml:space="preserve">Zitiervorschlag: § 1922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https://recht.nulegal.eu/gesetze/BGB/1922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