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1917 BGB — Ernennung des Ergänzungspflegers durch Erblasser und Dritte</w:t>
      </w:r>
    </w:p>
    <w:p>
      <w:r>
        <w:rPr>
          <w:color w:val="555555"/>
          <w:sz w:val="18"/>
        </w:rPr>
        <w:t xml:space="preserve">Bürgerliches Gesetzbuch</w:t>
      </w:r>
    </w:p>
    <w:p>
      <w:r>
        <w:rPr>
          <w:color w:val="555555"/>
          <w:sz w:val="18"/>
        </w:rPr>
        <w:t xml:space="preserve">Außer Kraft: § 1917 ist seit 01.01.2023 nicht mehr im BGB enthalten. Angezeigt wird die letzte bekannte Fassung, Stand 10.06.2019.</w:t>
      </w:r>
    </w:p>
    <w:p>
      <w:r>
        <w:t xml:space="preserve">(1) Wird die Anordnung einer Pflegschaft nach § 1909 Abs. 1 Satz 2 erforderlich, so ist als Pfleger berufen, wer durch letztwillige Verfügung oder bei der Zuwendung benannt worden ist; die Vorschriften des § 1778 sind entsprechend anzuwenden.</w:t>
      </w:r>
    </w:p>
    <w:p>
      <w:r>
        <w:t xml:space="preserve">(2) Für den benannten Pfleger können durch letztwillige Verfügung oder bei der Zuwendung die in den §§ 1852 bis 1854 bezeichneten Befreiungen angeordnet werden. Das Familiengericht kann die Anordnungen außer Kraft setzen, wenn sie das Interesse des Pfleglings gefährden.</w:t>
      </w:r>
    </w:p>
    <w:p>
      <w:r>
        <w:t xml:space="preserve">(3) Zu einer Abweichung von den Anordnungen des Zuwendenden ist, solange er lebt, seine Zustimmung erforderlich und genügend. Ist er zur Abgabe einer Erklärung dauernd außerstande oder ist sein Aufenthalt dauernd unbekannt, so kann das Familiengericht die Zustimmung ersetzen.</w:t>
      </w:r>
    </w:p>
    <w:p>
      <w:r>
        <w:rPr>
          <w:color w:val="555555"/>
          <w:sz w:val="17"/>
        </w:rPr>
        <w:t xml:space="preserve">Zitiervorschlag: § 1917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