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1915 BGB — Anwendung des Vormundschaftsrechts</w:t>
      </w:r>
    </w:p>
    <w:p>
      <w:r>
        <w:rPr>
          <w:color w:val="555555"/>
          <w:sz w:val="18"/>
        </w:rPr>
        <w:t xml:space="preserve">Bürgerliches Gesetzbuch</w:t>
      </w:r>
    </w:p>
    <w:p>
      <w:r>
        <w:rPr>
          <w:color w:val="555555"/>
          <w:sz w:val="18"/>
        </w:rPr>
        <w:t xml:space="preserve">Außer Kraft: § 1915 ist seit 01.01.2023 nicht mehr im BGB enthalten. Angezeigt wird die letzte bekannte Fassung, Stand 10.06.2019.</w:t>
      </w:r>
    </w:p>
    <w:p>
      <w:r>
        <w:t xml:space="preserve">(1) Auf die Pflegschaft finden die für die Vormundschaft geltenden Vorschriften entsprechende Anwendung, soweit sich nicht aus dem Gesetz ein anderes ergibt. Abweichend von § 3 Abs. 1 bis 3 des Vormünder- und Betreuervergütungsgesetzes bestimmt sich die Höhe einer nach § 1836 Abs. 1 zu bewilligenden Vergütung nach den für die Führung der Pflegschaftsgeschäfte nutzbaren Fachkenntnissen des Pflegers sowie nach dem Umfang und der Schwierigkeit der Pflegschaftsgeschäfte, sofern der Pflegling nicht mittellos ist. An die Stelle des Familiengerichts tritt das Betreuungsgericht; dies gilt nicht bei der Pflegschaft für Minderjährige oder für eine Leibesfrucht.</w:t>
      </w:r>
    </w:p>
    <w:p>
      <w:r>
        <w:t xml:space="preserve">(2) Die Bestellung eines Gegenvormunds ist nicht erforderlich.</w:t>
      </w:r>
    </w:p>
    <w:p>
      <w:r>
        <w:t xml:space="preserve">(3) § 1793 Abs. 2 findet auf die Pflegschaft für Volljährige keine Anwendung.</w:t>
      </w:r>
    </w:p>
    <w:p>
      <w:r>
        <w:rPr>
          <w:color w:val="555555"/>
          <w:sz w:val="17"/>
        </w:rPr>
        <w:t xml:space="preserve">Zitiervorschlag: § 1915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