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1893 BGB — Fortführung der Geschäfte nach Beendigung der Vormundschaft, Rückgabe von Urkunden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1893 ist seit 01.01.2023 nicht mehr im BGB enthalten. Angezeigt wird die letzte bekannte Fassung, Stand 10.06.2019.</w:t>
      </w:r>
    </w:p>
    <w:p>
      <w:r>
        <w:t xml:space="preserve">(1) Im Falle der Beendigung der Vormundschaft oder des vormundschaftlichen Amts finden die Vorschriften der §§ 1698a, 1698b entsprechende Anwendung.</w:t>
      </w:r>
    </w:p>
    <w:p>
      <w:r>
        <w:t xml:space="preserve">(2) Der Vormund hat nach Beendigung seines Amts die Bestallung dem Familiengericht zurückzugeben. In den Fällen der §§ 1791a, 1791b ist der Beschluss des Familiengerichts, im Falle des § 1791c die Bescheinigung über den Eintritt der Vormundschaft zurückzugeben.</w:t>
      </w:r>
    </w:p>
    <w:p>
      <w:r>
        <w:rPr>
          <w:color w:val="555555"/>
          <w:sz w:val="17"/>
        </w:rPr>
        <w:t xml:space="preserve">Zitiervorschlag: § 1893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