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1877 BGB — Aufwendungsersatz</w:t>
      </w:r>
    </w:p>
    <w:p>
      <w:r>
        <w:rPr>
          <w:color w:val="555555"/>
          <w:sz w:val="18"/>
        </w:rPr>
        <w:t xml:space="preserve">Bürgerliches Gesetzbuch</w:t>
      </w:r>
    </w:p>
    <w:p>
      <w:r>
        <w:rPr>
          <w:color w:val="555555"/>
          <w:sz w:val="18"/>
        </w:rPr>
        <w:t xml:space="preserve">Stand: 01.01.2023 (konsolidierte Textfassung, kein amtliches Inkrafttretensdatum)</w:t>
      </w:r>
    </w:p>
    <w:p>
      <w:r>
        <w:t xml:space="preserve">(1) Macht der Betreuer zur Führung der Betreuung Aufwendungen, so kann er nach den für den Auftrag geltenden Vorschriften der §§ 669 und 670 vom Betreuten Vorschuss oder Ersatz verlangen. Für den Ersatz von Fahrtkosten des Betreuers gilt die in § 5 des Justizvergütungs- und -entschädigungsgesetzes für Sachverständige getroffene Regelung entsprechend.</w:t>
      </w:r>
    </w:p>
    <w:p>
      <w:r>
        <w:t xml:space="preserve">(2) Zu den Aufwendungen gehören auch die Kosten einer angemessenen Versicherung gegen Schäden, die</w:t>
      </w:r>
    </w:p>
    <w:p>
      <w:pPr>
        <w:ind w:left="420"/>
      </w:pPr>
      <w:r>
        <w:t xml:space="preserve">1. dem Betreuten durch den Betreuer zugefügt werden können oder</w:t>
      </w:r>
    </w:p>
    <w:p>
      <w:pPr>
        <w:ind w:left="420"/>
      </w:pPr>
      <w:r>
        <w:t xml:space="preserve">2. dem Betreuer dadurch entstehen können, dass er einem Dritten zum Ersatz eines durch die Führung der Betreuung verursachten Schadens verpflichtet ist.</w:t>
      </w:r>
    </w:p>
    <w:p>
      <w:r>
        <w:t xml:space="preserve">Kosten für die Haftpflichtversicherung des Halters eines Kraftfahrzeugs gehören nicht zu diesen Aufwendungen.</w:t>
      </w:r>
    </w:p>
    <w:p>
      <w:r>
        <w:t xml:space="preserve">(3) Als Aufwendungen gelten auch solche Dienste des Betreuers, die zu seinem Gewerbe oder Beruf gehören.</w:t>
      </w:r>
    </w:p>
    <w:p>
      <w:r>
        <w:t xml:space="preserve">(4) Der Anspruch auf Aufwendungsersatz erlischt, wenn er nicht binnen 15 Monaten nach seiner Entstehung gerichtlich geltend gemacht wird. Die Geltendmachung beim Betreuungsgericht gilt als Geltendmachung gegen den Betreuten. Die Geltendmachung gegen den Betreuten gilt auch als Geltendmachung gegen die Staatskasse.</w:t>
      </w:r>
    </w:p>
    <w:p>
      <w:r>
        <w:t xml:space="preserve">(5) Das Betreuungsgericht kann eine von Absatz 4 Satz 1 abweichende kürzere oder längere Frist für das Erlöschen des Anspruchs bestimmen sowie diese gesetzte Frist auf Antrag verlängern. Mit der Fristbestimmung ist über das Erlöschen des Ersatzanspruchs bei Versäumung der Frist zu belehren. Der Anspruch ist innerhalb der Frist zu beziffern.</w:t>
      </w:r>
    </w:p>
    <w:p>
      <w:r>
        <w:rPr>
          <w:color w:val="555555"/>
          <w:sz w:val="17"/>
        </w:rPr>
        <w:t xml:space="preserve">Zitiervorschlag: § 1877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https://recht.nulegal.eu/gesetze/BGB/1877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