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1853 BGB — Genehmigung bei Verträgen über wiederkehrende Leistungen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Betreuer bedarf der Genehmigung des Betreuungsgerichts</w:t>
      </w:r>
    </w:p>
    <w:p>
      <w:pPr>
        <w:ind w:left="420"/>
      </w:pPr>
      <w:r>
        <w:t xml:space="preserve">1. zum Abschluss eines Miet- oder Pachtvertrags oder zu einem anderen Vertrag, durch den der Betreute zu wiederkehrenden Leistungen verpflichtet wird, wenn das Vertragsverhältnis länger als vier Jahre dauern soll, und</w:t>
      </w:r>
    </w:p>
    <w:p>
      <w:pPr>
        <w:ind w:left="420"/>
      </w:pPr>
      <w:r>
        <w:t xml:space="preserve">2. zu einem Pachtvertrag über einen gewerblichen oder land- oder forstwirtschaftlichen Betrieb.</w:t>
      </w:r>
    </w:p>
    <w:p>
      <w:r>
        <w:t xml:space="preserve">Satz 1 Nummer 1 gilt nicht, wenn der Betreute das Vertragsverhältnis ohne eigene Nachteile vorzeitig kündigen kann.</w:t>
      </w:r>
    </w:p>
    <w:p>
      <w:r>
        <w:rPr>
          <w:color w:val="555555"/>
          <w:sz w:val="17"/>
        </w:rPr>
        <w:t xml:space="preserve">Zitiervorschlag: § 1853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