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1836e BGB — Gesetzlicher Forderungsübergang</w:t>
      </w:r>
    </w:p>
    <w:p>
      <w:r>
        <w:rPr>
          <w:color w:val="555555"/>
          <w:sz w:val="18"/>
        </w:rPr>
        <w:t xml:space="preserve">Bürgerliches Gesetzbuch</w:t>
      </w:r>
    </w:p>
    <w:p>
      <w:r>
        <w:rPr>
          <w:color w:val="555555"/>
          <w:sz w:val="18"/>
        </w:rPr>
        <w:t xml:space="preserve">Außer Kraft: § 1836e ist seit 01.01.2023 nicht mehr im BGB enthalten. Angezeigt wird die letzte bekannte Fassung, Stand 10.06.2019.</w:t>
      </w:r>
    </w:p>
    <w:p>
      <w:r>
        <w:t xml:space="preserve">(1) Soweit die Staatskasse den Vormund oder Gegenvormund befriedigt, gehen Ansprüche des Vormundes oder Gegenvormunds gegen den Mündel auf die Staatskasse über. Nach dem Tode des Mündels haftet sein Erbe nur mit dem Wert des im Zeitpunkt des Erbfalls vorhandenen Nachlasses; § 102 Abs. 3 und 4 des Zwölften Buches Sozialgesetzbuch gilt entsprechend, § 1836c findet auf den Erben keine Anwendung.</w:t>
      </w:r>
    </w:p>
    <w:p>
      <w:r>
        <w:t xml:space="preserve">(2) Soweit Ansprüche gemäß § 1836c Nr. 1 Satz 3 einzusetzen sind, findet zugunsten der Staatskasse § 850b der Zivilprozessordnung keine Anwendung.</w:t>
      </w:r>
    </w:p>
    <w:p>
      <w:r>
        <w:rPr>
          <w:color w:val="555555"/>
          <w:sz w:val="17"/>
        </w:rPr>
        <w:t xml:space="preserve">Zitiervorschlag: § 1836e BGB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https://recht.nulegal.eu/gesetze/BGB/1836e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1836e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