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1836d BGB — Mittellosigkeit des Mündels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Außer Kraft: § 1836d ist seit 01.01.2023 nicht mehr im BGB enthalten. Angezeigt wird die letzte bekannte Fassung, Stand 10.06.2019.</w:t>
      </w:r>
    </w:p>
    <w:p>
      <w:r>
        <w:t xml:space="preserve">Der Mündel gilt als mittellos, wenn er den Aufwendungsersatz oder die Vergütung aus seinem einzusetzenden Einkommen oder Vermögen</w:t>
      </w:r>
    </w:p>
    <w:p>
      <w:pPr>
        <w:ind w:left="420"/>
      </w:pPr>
      <w:r>
        <w:t xml:space="preserve">1. nicht oder nur zum Teil oder nur in Raten oder</w:t>
      </w:r>
    </w:p>
    <w:p>
      <w:pPr>
        <w:ind w:left="420"/>
      </w:pPr>
      <w:r>
        <w:t xml:space="preserve">2. nur im Wege gerichtlicher Geltendmachung von Unterhaltsansprüchen</w:t>
      </w:r>
    </w:p>
    <w:p>
      <w:r>
        <w:t xml:space="preserve">aufbringen kann.</w:t>
      </w:r>
    </w:p>
    <w:p>
      <w:r>
        <w:rPr>
          <w:color w:val="555555"/>
          <w:sz w:val="17"/>
        </w:rPr>
        <w:t xml:space="preserve">Zitiervorschlag: § 1836d BGB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https://recht.nulegal.eu/gesetze/BGB/1836d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1836d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