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1826 BGB — Haftung des Betreuers</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Betreuer ist dem Betreuten für den aus einer Pflichtverletzung entstehenden Schaden verantwortlich. Dies gilt nicht, wenn der Betreuer die Pflichtverletzung nicht zu vertreten hat.</w:t>
      </w:r>
    </w:p>
    <w:p>
      <w:r>
        <w:t xml:space="preserve">(2) Sind für den Schaden mehrere Betreuer nebeneinander verantwortlich, so haften sie als Gesamtschuldner.</w:t>
      </w:r>
    </w:p>
    <w:p>
      <w:r>
        <w:t xml:space="preserve">(3) Ist ein Betreuungsverein als Betreuer bestellt, so ist er dem Betreuten für ein Verschulden des Mitglieds oder des Mitarbeiters in gleicher Weise verantwortlich wie für ein Verschulden eines verfassungsmäßig berufenen Vertreters.</w:t>
      </w:r>
    </w:p>
    <w:p>
      <w:r>
        <w:rPr>
          <w:color w:val="555555"/>
          <w:sz w:val="17"/>
        </w:rPr>
        <w:t xml:space="preserve">Zitiervorschlag: § 1826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https://recht.nulegal.eu/gesetze/BGB/1826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