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1808 BGB — Vergütung und Aufwendungsersatz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Vormundschaft wird grundsätzlich unentgeltlich geführt.</w:t>
      </w:r>
    </w:p>
    <w:p>
      <w:r>
        <w:t xml:space="preserve">(2) Der ehrenamtliche Vormund kann vom Mündel für seine zur Führung der Vormundschaft erforderlichen Aufwendungen Vorschuss oder Ersatz gemäß § 1877 oder stattdessen die Aufwandspauschale gemäß § 1878 verlangen; die §§ 1879 und 1880 gelten entsprechend. Das Familiengericht kann ihm abweichend von Absatz 1 eine angemessene Vergütung bewilligen. § 1876 Satz 2 gilt entsprechend.</w:t>
      </w:r>
    </w:p>
    <w:p>
      <w:r>
        <w:t xml:space="preserve">(3) Die Vormundschaft wird ausnahmsweise berufsmäßig geführt. Die Berufsmäßigkeit sowie Ansprüche des berufsmäßig tätigen Vormunds und des Vormundschaftsvereins auf Vergütung und Aufwendungsersatz bestimmen sich nach dem Vormünder- und Betreuervergütungsgesetz.</w:t>
      </w:r>
    </w:p>
    <w:p>
      <w:r>
        <w:rPr>
          <w:color w:val="555555"/>
          <w:sz w:val="17"/>
        </w:rPr>
        <w:t xml:space="preserve">Zitiervorschlag: § 1808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https://recht.nulegal.eu/gesetze/BGB/1808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1808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