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1800 BGB — Erteilung der Genehmigung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Familiengericht erteilt die Genehmigung, wenn das Rechtgeschäft den Grundsätzen nach § 1798 Absatz 1 nicht widerspricht.</w:t>
      </w:r>
    </w:p>
    <w:p>
      <w:r>
        <w:t xml:space="preserve">(2) Für die Erteilung der Genehmigung gelten die §§ 1855 bis 1856 Absatz 2 sowie die §§ 1857 und 1858 entsprechend. Ist der Mündel volljährig geworden, so tritt seine Genehmigung an die Stelle der Genehmigung des Familiengerichts.</w:t>
      </w:r>
    </w:p>
    <w:p>
      <w:r>
        <w:rPr>
          <w:color w:val="555555"/>
          <w:sz w:val="17"/>
        </w:rPr>
        <w:t xml:space="preserve">Zitiervorschlag: § 1800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