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1797 BGB — Entscheidungsbefugnis der Pflegeperson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Lebt der Mündel für längere Zeit bei der Pflegeperson, ist diese berechtigt, in Angelegenheiten des täglichen Lebens zu entscheiden und den Vormund insoweit zu vertreten. § 1629 Absatz 1 Satz 4 gilt entsprechend.</w:t>
      </w:r>
    </w:p>
    <w:p>
      <w:r>
        <w:t xml:space="preserve">(2) Absatz 1 ist auf die Person gemäß § 1796 Absatz 3 entsprechend anzuwenden.</w:t>
      </w:r>
    </w:p>
    <w:p>
      <w:r>
        <w:t xml:space="preserve">(3) Der Vormund kann die Befugnisse nach den Absätzen 1 und 2 durch Erklärung gegenüber der Pflegeperson einschränken oder ausschließen, wenn dies zum Wohl des Mündels erforderlich ist.</w:t>
      </w:r>
    </w:p>
    <w:p>
      <w:r>
        <w:rPr>
          <w:color w:val="555555"/>
          <w:sz w:val="17"/>
        </w:rPr>
        <w:t xml:space="preserve">Zitiervorschlag: § 1797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https://recht.nulegal.eu/gesetze/BGB/1797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