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1789 BGB — Sorge des Vormunds; Vertretung und Haftung des Mündels</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Vormund hat die Pflicht und das Recht, für die Person und das Vermögen des Mündels zu sorgen. Ausgenommen sind Angelegenheiten, für die ein Pfleger bestellt ist, es sei denn, die Angelegenheiten sind dem Pfleger mit dem Vormund zur gemeinsamen Wahrnehmung übertragen.</w:t>
      </w:r>
    </w:p>
    <w:p>
      <w:r>
        <w:t xml:space="preserve">(2) Der Vormund vertritt den Mündel. § 1824 gilt entsprechend. Das Familiengericht kann dem Vormund die Vertretung für einzelne Angelegenheiten entziehen. Die Entziehung soll nur erfolgen, wenn das Interesse des Mündels zu dem Interesse des Vormunds, eines von diesem vertretenen Dritten oder einer der in § 1824 Absatz 1 Nummer 1 bezeichneten Personen in erheblichem Gegensatz steht.</w:t>
      </w:r>
    </w:p>
    <w:p>
      <w:r>
        <w:t xml:space="preserve">(3) Für Verbindlichkeiten, die im Rahmen der Vertretungsmacht nach Absatz 2 gegenüber dem Mündel begründet werden, haftet der Mündel entsprechend § 1629a.</w:t>
      </w:r>
    </w:p>
    <w:p>
      <w:r>
        <w:rPr>
          <w:color w:val="555555"/>
          <w:sz w:val="17"/>
        </w:rPr>
        <w:t xml:space="preserve">Zitiervorschlag: § 1789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1789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