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1779 BGB — Eignung der Person; Vorrang des ehrenamtlichen Vormunds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Eine natürliche Person muss nach</w:t>
      </w:r>
    </w:p>
    <w:p>
      <w:pPr>
        <w:ind w:left="420"/>
      </w:pPr>
      <w:r>
        <w:t xml:space="preserve">1. ihren Kenntnissen und Erfahrungen,</w:t>
      </w:r>
    </w:p>
    <w:p>
      <w:pPr>
        <w:ind w:left="420"/>
      </w:pPr>
      <w:r>
        <w:t xml:space="preserve">2. ihren persönlichen Eigenschaften,</w:t>
      </w:r>
    </w:p>
    <w:p>
      <w:pPr>
        <w:ind w:left="420"/>
      </w:pPr>
      <w:r>
        <w:t xml:space="preserve">3. ihren persönlichen Verhältnissen und ihrer Vermögenslage sowie</w:t>
      </w:r>
    </w:p>
    <w:p>
      <w:pPr>
        <w:ind w:left="420"/>
      </w:pPr>
      <w:r>
        <w:t xml:space="preserve">4. ihrer Fähigkeit und Bereitschaft zur Zusammenarbeit mit den anderen an der Erziehung des Mündels beteiligten Personen</w:t>
      </w:r>
    </w:p>
    <w:p>
      <w:r>
        <w:t xml:space="preserve">geeignet sein, die Vormundschaft so zu führen, wie es das Wohl des Mündels erfordert.</w:t>
      </w:r>
    </w:p>
    <w:p>
      <w:r>
        <w:t xml:space="preserve">(2) Eine natürliche Person, die geeignet und bereit ist, die Vormundschaft ehrenamtlich zu führen, hat gegenüber den in § 1774 Absatz 1 Nummer 2 bis 4 genannten Vormündern Vorrang. Von ihrer Eignung ist auch dann auszugehen, wenn ein zusätzlicher Pfleger nach § 1776 bestellt wird.</w:t>
      </w:r>
    </w:p>
    <w:p>
      <w:r>
        <w:rPr>
          <w:color w:val="555555"/>
          <w:sz w:val="17"/>
        </w:rPr>
        <w:t xml:space="preserve">Zitiervorschlag: § 1779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