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1777 BGB — Übertragung von Sorgeangelegenheiten auf die Pflegeperson als Pfleger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Familiengericht überträgt auf Antrag des Vormunds oder der Pflegeperson einzelne Sorgeangelegenheiten oder eine bestimmte Art von Sorgeangelegenheiten auf die Pflegeperson als Pfleger, wenn</w:t>
      </w:r>
    </w:p>
    <w:p>
      <w:pPr>
        <w:ind w:left="420"/>
      </w:pPr>
      <w:r>
        <w:t xml:space="preserve">1. der Mündel seit längerer Zeit bei der Pflegeperson lebt oder bereits bei Begründung des Pflegeverhältnisses eine persönliche Bindung zwischen dem Mündel und der Pflegeperson besteht,</w:t>
      </w:r>
    </w:p>
    <w:p>
      <w:pPr>
        <w:ind w:left="420"/>
      </w:pPr>
      <w:r>
        <w:t xml:space="preserve">2. die Pflegeperson oder der Vormund dem Antrag des jeweils anderen auf Übertragung zustimmt und</w:t>
      </w:r>
    </w:p>
    <w:p>
      <w:pPr>
        <w:ind w:left="420"/>
      </w:pPr>
      <w:r>
        <w:t xml:space="preserve">3. die Übertragung dem Wohl des Mündels dient.</w:t>
      </w:r>
    </w:p>
    <w:p>
      <w:r>
        <w:t xml:space="preserve">Ein entgegenstehender Wille des Mündels ist zu berücksichtigen.</w:t>
      </w:r>
    </w:p>
    <w:p>
      <w:r>
        <w:t xml:space="preserve">(2) Sorgeangelegenheiten, deren Regelung für den Mündel von erheblicher Bedeutung ist, werden der Pflegeperson nur zur gemeinsamen Wahrnehmung mit dem Vormund übertragen.</w:t>
      </w:r>
    </w:p>
    <w:p>
      <w:r>
        <w:t xml:space="preserve">(3) Den Antrag auf Übertragung nach Absatz 1 Satz 1 kann auch der Mündel stellen, wenn er das 14. Lebensjahr vollendet hat. Für die Übertragung ist die Zustimmung des Vormunds und der Pflegeperson erforderlich.</w:t>
      </w:r>
    </w:p>
    <w:p>
      <w:r>
        <w:t xml:space="preserve">(4) § 1776 Absatz 2 gilt entsprechend. Im Übrigen gelten die Vorschriften über die Pflegschaft für Minderjährige entsprechend. Neben einem Pfleger nach § 1809 oder § 1776 kann die Pflegeperson nicht zum Pfleger bestellt werden.</w:t>
      </w:r>
    </w:p>
    <w:p>
      <w:r>
        <w:rPr>
          <w:color w:val="555555"/>
          <w:sz w:val="17"/>
        </w:rPr>
        <w:t xml:space="preserve">Zitiervorschlag: § 1777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