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1776 BGB — Zusätzlicher Pfleger</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Das Familiengericht kann bei Bestellung eines ehrenamtlichen Vormunds mit dessen Einverständnis einzelne Sorgeangelegenheiten oder eine bestimmte Art von Sorgeangelegenheiten auf einen Pfleger übertragen, wenn die Übertragung dieser Angelegenheiten dem Wohl des Mündels dient. Die Übertragung ist auch nachträglich möglich, wenn der Vormund zustimmt.</w:t>
      </w:r>
    </w:p>
    <w:p>
      <w:r>
        <w:t xml:space="preserve">(2) Die Übertragung ist ganz oder teilweise aufzuheben,</w:t>
      </w:r>
    </w:p>
    <w:p>
      <w:pPr>
        <w:ind w:left="420"/>
      </w:pPr>
      <w:r>
        <w:t xml:space="preserve">1. wenn sie dem Wohl des Mündels widerspricht,</w:t>
      </w:r>
    </w:p>
    <w:p>
      <w:pPr>
        <w:ind w:left="420"/>
      </w:pPr>
      <w:r>
        <w:t xml:space="preserve">2. auf Antrag des Vormunds oder des Pflegers, wenn der jeweils andere Teil zustimmt und die Aufhebung dem Wohl des Mündels nicht widerspricht, oder</w:t>
      </w:r>
    </w:p>
    <w:p>
      <w:pPr>
        <w:ind w:left="420"/>
      </w:pPr>
      <w:r>
        <w:t xml:space="preserve">3. auf Antrag des Mündels, der das 14. Lebensjahr vollendet hat, wenn Vormund und Pfleger der Aufhebung zustimmen.</w:t>
      </w:r>
    </w:p>
    <w:p>
      <w:r>
        <w:t xml:space="preserve">Die Zustimmung gemäß Satz 1 Nummer 2 und 3 ist entbehrlich, wenn ein wichtiger Grund für die Aufhebung vorliegt.</w:t>
      </w:r>
    </w:p>
    <w:p>
      <w:r>
        <w:t xml:space="preserve">(3) Im Übrigen gelten die Vorschriften über die Pflegschaft für Minderjährige entsprechend. Neben einem Pfleger nach § 1809 oder § 1777 kann ein Pfleger nach Absatz 1 nicht bestellt werden.</w:t>
      </w:r>
    </w:p>
    <w:p>
      <w:r>
        <w:rPr>
          <w:color w:val="555555"/>
          <w:sz w:val="17"/>
        </w:rPr>
        <w:t xml:space="preserve">Zitiervorschlag: § 1776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https://recht.nulegal.eu/gesetze/BGB/1776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