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1770 BGB — Wirkung der Annahme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Wirkungen der Annahme eines Volljährigen erstrecken sich nicht auf die Verwandten des Annehmenden. Der Ehegatte oder Lebenspartner des Annehmenden wird nicht mit dem Angenommenen, dessen Ehegatte oder Lebenspartner wird nicht mit dem Annehmenden verschwägert.</w:t>
      </w:r>
    </w:p>
    <w:p>
      <w:r>
        <w:t xml:space="preserve">(2) Die Rechte und Pflichten aus dem Verwandtschaftsverhältnis des Angenommenen und seiner Abkömmlinge zu ihren Verwandten werden durch die Annahme nicht berührt, soweit das Gesetz nichts anderes vorschreibt.</w:t>
      </w:r>
    </w:p>
    <w:p>
      <w:r>
        <w:t xml:space="preserve">(3) Der Annehmende ist dem Angenommenen und dessen Abkömmlingen vor den leiblichen Verwandten des Angenommenen zur Gewährung des Unterhalts verpflichtet.</w:t>
      </w:r>
    </w:p>
    <w:p>
      <w:r>
        <w:rPr>
          <w:color w:val="555555"/>
          <w:sz w:val="17"/>
        </w:rPr>
        <w:t xml:space="preserve">Zitiervorschlag: § 1770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https://recht.nulegal.eu/gesetze/BGB/1770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