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1768 BGB — Antrag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Annahme eines Volljährigen wird auf Antrag des Annehmenden und des Anzunehmenden vom Familiengericht ausgesprochen. §§ 1742, 1744, 1745, 1746 Abs. 1, 2, § 1747 sind nicht anzuwenden.</w:t>
      </w:r>
    </w:p>
    <w:p>
      <w:r>
        <w:t xml:space="preserve">(2) Für einen Anzunehmenden, der geschäftsunfähig ist, kann der Antrag nur von seinem gesetzlichen Vertreter gestellt werden.</w:t>
      </w:r>
    </w:p>
    <w:p>
      <w:r>
        <w:rPr>
          <w:color w:val="555555"/>
          <w:sz w:val="17"/>
        </w:rPr>
        <w:t xml:space="preserve">Zitiervorschlag: § 1768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1768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