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1754 BGB — Wirkung der Annahme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Nimmt ein Ehepaar ein Kind an oder nimmt ein Ehegatte ein Kind des anderen Ehegatten an, so erlangt das Kind die rechtliche Stellung eines gemeinschaftlichen Kindes der Ehegatten.</w:t>
      </w:r>
    </w:p>
    <w:p>
      <w:r>
        <w:t xml:space="preserve">(2) In den anderen Fällen erlangt das Kind die rechtliche Stellung eines Kindes des Annehmenden.</w:t>
      </w:r>
    </w:p>
    <w:p>
      <w:r>
        <w:t xml:space="preserve">(3) Die elterliche Sorge steht in den Fällen des Absatzes 1 den Ehegatten gemeinsam, in den Fällen des Absatzes 2 dem Annehmenden zu.</w:t>
      </w:r>
    </w:p>
    <w:p>
      <w:r>
        <w:rPr>
          <w:color w:val="555555"/>
          <w:sz w:val="17"/>
        </w:rPr>
        <w:t xml:space="preserve">Zitiervorschlag: § 1754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