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1753 BGB — Annahme nach dem Tode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Ausspruch der Annahme kann nicht nach dem Tode des Kindes erfolgen.</w:t>
      </w:r>
    </w:p>
    <w:p>
      <w:r>
        <w:t xml:space="preserve">(2) Nach dem Tode des Annehmenden ist der Ausspruch nur zulässig, wenn der Annehmende den Antrag beim Familiengericht eingereicht oder bei oder nach der notariellen Beurkundung des Antrags den Notar damit betraut hat, den Antrag einzureichen.</w:t>
      </w:r>
    </w:p>
    <w:p>
      <w:r>
        <w:t xml:space="preserve">(3) Wird die Annahme nach dem Tode des Annehmenden ausgesprochen, so hat sie die gleiche Wirkung, wie wenn sie vor dem Tode erfolgt wäre.</w:t>
      </w:r>
    </w:p>
    <w:p>
      <w:r>
        <w:rPr>
          <w:color w:val="555555"/>
          <w:sz w:val="17"/>
        </w:rPr>
        <w:t xml:space="preserve">Zitiervorschlag: § 1753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