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1749 BGB — Einwilligung des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Annahme eines Kindes durch einen Ehegatten allein ist die Einwilligung des anderen Ehegatten erforderlich. Das Familiengericht kann auf Antrag des Annehmenden die Einwilligung ersetzen. Die Einwilligung darf nicht ersetzt werden, wenn berechtigte Interessen des anderen Ehegatten und der Familie der Annahme entgegenstehen.</w:t>
      </w:r>
    </w:p>
    <w:p>
      <w:r>
        <w:t xml:space="preserve">(2) Die Einwilligung des Ehegatten ist nicht erforderlich, wenn er zur Abgabe der Erklärung dauernd außerstande oder sein Aufenthalt dauernd unbekannt ist.</w:t>
      </w:r>
    </w:p>
    <w:p>
      <w:r>
        <w:rPr>
          <w:color w:val="555555"/>
          <w:sz w:val="17"/>
        </w:rPr>
        <w:t xml:space="preserve">Zitiervorschlag: § 1749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